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229B5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黑体" w:hAnsi="黑体" w:eastAsia="黑体" w:cs="黑体"/>
          <w:b w:val="0"/>
          <w:bCs w:val="0"/>
          <w:i w:val="0"/>
          <w:iCs w:val="0"/>
          <w:caps w:val="0"/>
          <w:color w:val="303133"/>
          <w:spacing w:val="0"/>
          <w:sz w:val="32"/>
          <w:szCs w:val="32"/>
        </w:rPr>
      </w:pPr>
      <w:r>
        <w:rPr>
          <w:rStyle w:val="5"/>
          <w:rFonts w:hint="eastAsia" w:ascii="黑体" w:hAnsi="黑体" w:eastAsia="黑体" w:cs="黑体"/>
          <w:b w:val="0"/>
          <w:bCs w:val="0"/>
          <w:i w:val="0"/>
          <w:iCs w:val="0"/>
          <w:caps w:val="0"/>
          <w:color w:val="303133"/>
          <w:spacing w:val="0"/>
          <w:sz w:val="32"/>
          <w:szCs w:val="32"/>
          <w:bdr w:val="none" w:color="auto" w:sz="0" w:space="0"/>
          <w:shd w:val="clear" w:fill="FFFFFF"/>
        </w:rPr>
        <w:t>一、什么</w:t>
      </w:r>
      <w:bookmarkStart w:id="0" w:name="_GoBack"/>
      <w:r>
        <w:rPr>
          <w:rStyle w:val="5"/>
          <w:rFonts w:hint="eastAsia" w:ascii="黑体" w:hAnsi="黑体" w:eastAsia="黑体" w:cs="黑体"/>
          <w:b w:val="0"/>
          <w:bCs w:val="0"/>
          <w:i w:val="0"/>
          <w:iCs w:val="0"/>
          <w:caps w:val="0"/>
          <w:color w:val="303133"/>
          <w:spacing w:val="0"/>
          <w:sz w:val="32"/>
          <w:szCs w:val="32"/>
          <w:bdr w:val="none" w:color="auto" w:sz="0" w:space="0"/>
          <w:shd w:val="clear" w:fill="FFFFFF"/>
        </w:rPr>
        <w:t>是APE</w:t>
      </w:r>
      <w:bookmarkEnd w:id="0"/>
      <w:r>
        <w:rPr>
          <w:rStyle w:val="5"/>
          <w:rFonts w:hint="eastAsia" w:ascii="黑体" w:hAnsi="黑体" w:eastAsia="黑体" w:cs="黑体"/>
          <w:b w:val="0"/>
          <w:bCs w:val="0"/>
          <w:i w:val="0"/>
          <w:iCs w:val="0"/>
          <w:caps w:val="0"/>
          <w:color w:val="303133"/>
          <w:spacing w:val="0"/>
          <w:sz w:val="32"/>
          <w:szCs w:val="32"/>
          <w:bdr w:val="none" w:color="auto" w:sz="0" w:space="0"/>
          <w:shd w:val="clear" w:fill="FFFFFF"/>
        </w:rPr>
        <w:t>C商务旅行卡？</w:t>
      </w:r>
    </w:p>
    <w:p w14:paraId="400E02A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03133"/>
          <w:spacing w:val="0"/>
          <w:sz w:val="32"/>
          <w:szCs w:val="32"/>
        </w:rPr>
      </w:pPr>
      <w:r>
        <w:rPr>
          <w:rFonts w:hint="eastAsia" w:ascii="仿宋_GB2312" w:hAnsi="仿宋_GB2312" w:eastAsia="仿宋_GB2312" w:cs="仿宋_GB2312"/>
          <w:i w:val="0"/>
          <w:iCs w:val="0"/>
          <w:caps w:val="0"/>
          <w:color w:val="303133"/>
          <w:spacing w:val="0"/>
          <w:sz w:val="32"/>
          <w:szCs w:val="32"/>
          <w:bdr w:val="none" w:color="auto" w:sz="0" w:space="0"/>
          <w:shd w:val="clear" w:fill="FFFFFF"/>
        </w:rPr>
        <w:t>APEC商务旅行卡系根据APEC商务旅行卡（APEC Business Travel Card，中文全称“亚太经合组织商务旅行卡”，以下简称“旅行卡”）计划，经过申请批准，由APEC范围内各经济体的相关商务人员持有，可直接出入各APEC经济体的旅行证件。</w:t>
      </w:r>
    </w:p>
    <w:p w14:paraId="2D66A8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Style w:val="5"/>
          <w:rFonts w:hint="default" w:ascii="黑体" w:hAnsi="黑体" w:eastAsia="黑体" w:cs="黑体"/>
          <w:b w:val="0"/>
          <w:bCs w:val="0"/>
          <w:i w:val="0"/>
          <w:iCs w:val="0"/>
          <w:caps w:val="0"/>
          <w:color w:val="303133"/>
          <w:spacing w:val="0"/>
          <w:sz w:val="32"/>
          <w:szCs w:val="32"/>
          <w:shd w:val="clear" w:fill="FFFFFF"/>
        </w:rPr>
      </w:pPr>
      <w:r>
        <w:rPr>
          <w:rStyle w:val="5"/>
          <w:rFonts w:hint="default" w:ascii="黑体" w:hAnsi="黑体" w:eastAsia="黑体" w:cs="黑体"/>
          <w:b w:val="0"/>
          <w:bCs w:val="0"/>
          <w:i w:val="0"/>
          <w:iCs w:val="0"/>
          <w:caps w:val="0"/>
          <w:color w:val="303133"/>
          <w:spacing w:val="0"/>
          <w:sz w:val="32"/>
          <w:szCs w:val="32"/>
          <w:shd w:val="clear" w:fill="FFFFFF"/>
        </w:rPr>
        <w:t>二、APEC经济体的成员以及卡背面的英文缩写标识</w:t>
      </w:r>
    </w:p>
    <w:p w14:paraId="176C51E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default" w:ascii="仿宋_GB2312" w:hAnsi="仿宋_GB2312" w:eastAsia="仿宋_GB2312" w:cs="仿宋_GB2312"/>
          <w:i w:val="0"/>
          <w:iCs w:val="0"/>
          <w:caps w:val="0"/>
          <w:color w:val="303133"/>
          <w:spacing w:val="0"/>
          <w:sz w:val="32"/>
          <w:szCs w:val="32"/>
          <w:shd w:val="clear" w:fill="FFFFFF"/>
        </w:rPr>
      </w:pPr>
      <w:r>
        <w:rPr>
          <w:rFonts w:hint="default" w:ascii="仿宋_GB2312" w:hAnsi="仿宋_GB2312" w:eastAsia="仿宋_GB2312" w:cs="仿宋_GB2312"/>
          <w:i w:val="0"/>
          <w:iCs w:val="0"/>
          <w:caps w:val="0"/>
          <w:color w:val="303133"/>
          <w:spacing w:val="0"/>
          <w:sz w:val="32"/>
          <w:szCs w:val="32"/>
          <w:shd w:val="clear" w:fill="FFFFFF"/>
        </w:rPr>
        <w:t>目前，APEC共有21个经济体，分别是：日本（JPN）、韩国（KOR）、马来西亚（MYS）、印度尼西亚（IDN）、文莱（BRN）、菲律宾（PHL）、新加坡（SGP）、墨西哥（MEX）、泰国（THA）、越南（VNM）、澳大利亚（AUS）、新西兰（NZL）、巴布亚新几内亚（PNG）、智利（CHL）、秘鲁（PER）、俄罗斯（RUS）、美国（USA)、加拿大（CAN)、中国（CHN）、香港（HKG）、台湾（TWN）。其中美国和加拿大是旅行卡计划过渡成员，不接受其他经济体的APEC商务旅行卡申请，但为其他经济体持卡人提供签证申请和入出境通关便利；中国大陆与香港、台湾互不适用旅行卡，所以中国籍持卡人持有效卡最多可以入境16个经济体。</w:t>
      </w:r>
    </w:p>
    <w:p w14:paraId="5DA7E34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Style w:val="5"/>
          <w:rFonts w:hint="default" w:ascii="黑体" w:hAnsi="黑体" w:eastAsia="黑体" w:cs="黑体"/>
          <w:b w:val="0"/>
          <w:bCs w:val="0"/>
          <w:i w:val="0"/>
          <w:iCs w:val="0"/>
          <w:caps w:val="0"/>
          <w:color w:val="303133"/>
          <w:spacing w:val="0"/>
          <w:sz w:val="32"/>
          <w:szCs w:val="32"/>
          <w:shd w:val="clear" w:fill="FFFFFF"/>
        </w:rPr>
      </w:pPr>
      <w:r>
        <w:rPr>
          <w:rStyle w:val="5"/>
          <w:rFonts w:hint="default" w:ascii="黑体" w:hAnsi="黑体" w:eastAsia="黑体" w:cs="黑体"/>
          <w:b w:val="0"/>
          <w:bCs w:val="0"/>
          <w:i w:val="0"/>
          <w:iCs w:val="0"/>
          <w:caps w:val="0"/>
          <w:color w:val="303133"/>
          <w:spacing w:val="0"/>
          <w:sz w:val="32"/>
          <w:szCs w:val="32"/>
          <w:shd w:val="clear" w:fill="FFFFFF"/>
        </w:rPr>
        <w:t>三、持用旅行卡有什么便利？</w:t>
      </w:r>
    </w:p>
    <w:p w14:paraId="1C52397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03133"/>
          <w:spacing w:val="0"/>
          <w:sz w:val="32"/>
          <w:szCs w:val="32"/>
          <w:shd w:val="clear" w:fill="FFFFFF"/>
          <w:lang w:val="en-US" w:eastAsia="zh-CN"/>
        </w:rPr>
      </w:pPr>
      <w:r>
        <w:rPr>
          <w:rFonts w:hint="default" w:ascii="仿宋_GB2312" w:hAnsi="仿宋_GB2312" w:eastAsia="仿宋_GB2312" w:cs="仿宋_GB2312"/>
          <w:i w:val="0"/>
          <w:iCs w:val="0"/>
          <w:caps w:val="0"/>
          <w:color w:val="303133"/>
          <w:spacing w:val="0"/>
          <w:sz w:val="32"/>
          <w:szCs w:val="32"/>
          <w:shd w:val="clear" w:fill="FFFFFF"/>
        </w:rPr>
        <w:t>（一）持卡人凭本人有效护照和旅行卡可直接往来于已批准入境的各经济体之间，有利于企业相关人员往来于各APEC经济体从事商务活动。</w:t>
      </w:r>
    </w:p>
    <w:p w14:paraId="2CA76C3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default" w:ascii="仿宋_GB2312" w:hAnsi="仿宋_GB2312" w:eastAsia="仿宋_GB2312" w:cs="仿宋_GB2312"/>
          <w:i w:val="0"/>
          <w:iCs w:val="0"/>
          <w:caps w:val="0"/>
          <w:color w:val="303133"/>
          <w:spacing w:val="0"/>
          <w:sz w:val="32"/>
          <w:szCs w:val="32"/>
          <w:shd w:val="clear" w:fill="FFFFFF"/>
        </w:rPr>
      </w:pPr>
      <w:r>
        <w:rPr>
          <w:rFonts w:hint="default" w:ascii="仿宋_GB2312" w:hAnsi="仿宋_GB2312" w:eastAsia="仿宋_GB2312" w:cs="仿宋_GB2312"/>
          <w:i w:val="0"/>
          <w:iCs w:val="0"/>
          <w:caps w:val="0"/>
          <w:color w:val="303133"/>
          <w:spacing w:val="0"/>
          <w:sz w:val="32"/>
          <w:szCs w:val="32"/>
          <w:shd w:val="clear" w:fill="FFFFFF"/>
        </w:rPr>
        <w:t>（二）持有旅行卡后可在卡的有效期内免办各APEC经济体的签证，免除了申办各APEC经济体入境签证的繁琐手续，既节省时间，又节省签证费用开支。</w:t>
      </w:r>
    </w:p>
    <w:p w14:paraId="7C2EE67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default" w:ascii="仿宋_GB2312" w:hAnsi="仿宋_GB2312" w:eastAsia="仿宋_GB2312" w:cs="仿宋_GB2312"/>
          <w:i w:val="0"/>
          <w:iCs w:val="0"/>
          <w:caps w:val="0"/>
          <w:color w:val="303133"/>
          <w:spacing w:val="0"/>
          <w:sz w:val="32"/>
          <w:szCs w:val="32"/>
          <w:shd w:val="clear" w:fill="FFFFFF"/>
        </w:rPr>
      </w:pPr>
      <w:r>
        <w:rPr>
          <w:rFonts w:hint="default" w:ascii="仿宋_GB2312" w:hAnsi="仿宋_GB2312" w:eastAsia="仿宋_GB2312" w:cs="仿宋_GB2312"/>
          <w:i w:val="0"/>
          <w:iCs w:val="0"/>
          <w:caps w:val="0"/>
          <w:color w:val="303133"/>
          <w:spacing w:val="0"/>
          <w:sz w:val="32"/>
          <w:szCs w:val="32"/>
          <w:shd w:val="clear" w:fill="FFFFFF"/>
        </w:rPr>
        <w:t>（三）申请人一次申办，五年有效，多次入境，每次入境至少可停留60天。此外，各经济体主要机场普遍为持卡人提供入出境通关便利。</w:t>
      </w:r>
    </w:p>
    <w:p w14:paraId="529C4D2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Style w:val="5"/>
          <w:rFonts w:hint="default" w:ascii="黑体" w:hAnsi="黑体" w:eastAsia="黑体" w:cs="黑体"/>
          <w:b w:val="0"/>
          <w:bCs w:val="0"/>
          <w:i w:val="0"/>
          <w:iCs w:val="0"/>
          <w:caps w:val="0"/>
          <w:color w:val="303133"/>
          <w:spacing w:val="0"/>
          <w:sz w:val="32"/>
          <w:szCs w:val="32"/>
          <w:shd w:val="clear" w:fill="FFFFFF"/>
        </w:rPr>
      </w:pPr>
      <w:r>
        <w:rPr>
          <w:rStyle w:val="5"/>
          <w:rFonts w:hint="default" w:ascii="黑体" w:hAnsi="黑体" w:eastAsia="黑体" w:cs="黑体"/>
          <w:b w:val="0"/>
          <w:bCs w:val="0"/>
          <w:i w:val="0"/>
          <w:iCs w:val="0"/>
          <w:caps w:val="0"/>
          <w:color w:val="303133"/>
          <w:spacing w:val="0"/>
          <w:sz w:val="32"/>
          <w:szCs w:val="32"/>
          <w:shd w:val="clear" w:fill="FFFFFF"/>
        </w:rPr>
        <w:t>四、持卡前往各经济体允许最长停留天数</w:t>
      </w:r>
    </w:p>
    <w:p w14:paraId="6F12747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default" w:ascii="仿宋_GB2312" w:hAnsi="仿宋_GB2312" w:eastAsia="仿宋_GB2312" w:cs="仿宋_GB2312"/>
          <w:i w:val="0"/>
          <w:iCs w:val="0"/>
          <w:caps w:val="0"/>
          <w:color w:val="303133"/>
          <w:spacing w:val="0"/>
          <w:sz w:val="32"/>
          <w:szCs w:val="32"/>
          <w:shd w:val="clear" w:fill="FFFFFF"/>
        </w:rPr>
      </w:pPr>
      <w:r>
        <w:rPr>
          <w:rFonts w:hint="default" w:ascii="仿宋_GB2312" w:hAnsi="仿宋_GB2312" w:eastAsia="仿宋_GB2312" w:cs="仿宋_GB2312"/>
          <w:i w:val="0"/>
          <w:iCs w:val="0"/>
          <w:caps w:val="0"/>
          <w:color w:val="303133"/>
          <w:spacing w:val="0"/>
          <w:sz w:val="32"/>
          <w:szCs w:val="32"/>
          <w:shd w:val="clear" w:fill="FFFFFF"/>
        </w:rPr>
        <w:t>60天：印度尼西亚、巴布亚新几内亚、菲律宾、新加坡；</w:t>
      </w:r>
    </w:p>
    <w:p w14:paraId="7353E2F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default" w:ascii="仿宋_GB2312" w:hAnsi="仿宋_GB2312" w:eastAsia="仿宋_GB2312" w:cs="仿宋_GB2312"/>
          <w:i w:val="0"/>
          <w:iCs w:val="0"/>
          <w:caps w:val="0"/>
          <w:color w:val="303133"/>
          <w:spacing w:val="0"/>
          <w:sz w:val="32"/>
          <w:szCs w:val="32"/>
          <w:shd w:val="clear" w:fill="FFFFFF"/>
        </w:rPr>
      </w:pPr>
      <w:r>
        <w:rPr>
          <w:rFonts w:hint="default" w:ascii="仿宋_GB2312" w:hAnsi="仿宋_GB2312" w:eastAsia="仿宋_GB2312" w:cs="仿宋_GB2312"/>
          <w:i w:val="0"/>
          <w:iCs w:val="0"/>
          <w:caps w:val="0"/>
          <w:color w:val="303133"/>
          <w:spacing w:val="0"/>
          <w:sz w:val="32"/>
          <w:szCs w:val="32"/>
          <w:shd w:val="clear" w:fill="FFFFFF"/>
        </w:rPr>
        <w:t>90天：澳大利亚、文莱、智利、日本、韩国、马来西亚、新西兰、秘鲁、俄罗斯、泰国、越南；</w:t>
      </w:r>
    </w:p>
    <w:p w14:paraId="06876AF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default" w:ascii="仿宋_GB2312" w:hAnsi="仿宋_GB2312" w:eastAsia="仿宋_GB2312" w:cs="仿宋_GB2312"/>
          <w:i w:val="0"/>
          <w:iCs w:val="0"/>
          <w:caps w:val="0"/>
          <w:color w:val="303133"/>
          <w:spacing w:val="0"/>
          <w:sz w:val="32"/>
          <w:szCs w:val="32"/>
          <w:shd w:val="clear" w:fill="FFFFFF"/>
        </w:rPr>
      </w:pPr>
      <w:r>
        <w:rPr>
          <w:rFonts w:hint="default" w:ascii="仿宋_GB2312" w:hAnsi="仿宋_GB2312" w:eastAsia="仿宋_GB2312" w:cs="仿宋_GB2312"/>
          <w:i w:val="0"/>
          <w:iCs w:val="0"/>
          <w:caps w:val="0"/>
          <w:color w:val="303133"/>
          <w:spacing w:val="0"/>
          <w:sz w:val="32"/>
          <w:szCs w:val="32"/>
          <w:shd w:val="clear" w:fill="FFFFFF"/>
        </w:rPr>
        <w:t>180天：墨西哥。</w:t>
      </w:r>
    </w:p>
    <w:p w14:paraId="7CDB775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Style w:val="5"/>
          <w:rFonts w:hint="default" w:ascii="黑体" w:hAnsi="黑体" w:eastAsia="黑体" w:cs="黑体"/>
          <w:b w:val="0"/>
          <w:bCs w:val="0"/>
          <w:i w:val="0"/>
          <w:iCs w:val="0"/>
          <w:caps w:val="0"/>
          <w:color w:val="303133"/>
          <w:spacing w:val="0"/>
          <w:sz w:val="32"/>
          <w:szCs w:val="32"/>
          <w:shd w:val="clear" w:fill="FFFFFF"/>
        </w:rPr>
      </w:pPr>
      <w:r>
        <w:rPr>
          <w:rStyle w:val="5"/>
          <w:rFonts w:hint="default" w:ascii="黑体" w:hAnsi="黑体" w:eastAsia="黑体" w:cs="黑体"/>
          <w:b w:val="0"/>
          <w:bCs w:val="0"/>
          <w:i w:val="0"/>
          <w:iCs w:val="0"/>
          <w:caps w:val="0"/>
          <w:color w:val="303133"/>
          <w:spacing w:val="0"/>
          <w:sz w:val="32"/>
          <w:szCs w:val="32"/>
          <w:shd w:val="clear" w:fill="FFFFFF"/>
        </w:rPr>
        <w:t>五、内蒙古自治区APEC商务旅行卡申办企业资质量化标准</w:t>
      </w:r>
    </w:p>
    <w:p w14:paraId="7D3D245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default" w:ascii="仿宋_GB2312" w:hAnsi="仿宋_GB2312" w:eastAsia="仿宋_GB2312" w:cs="仿宋_GB2312"/>
          <w:i w:val="0"/>
          <w:iCs w:val="0"/>
          <w:caps w:val="0"/>
          <w:color w:val="303133"/>
          <w:spacing w:val="0"/>
          <w:sz w:val="32"/>
          <w:szCs w:val="32"/>
          <w:shd w:val="clear" w:fill="FFFFFF"/>
        </w:rPr>
      </w:pPr>
      <w:r>
        <w:rPr>
          <w:rFonts w:hint="default" w:ascii="仿宋_GB2312" w:hAnsi="仿宋_GB2312" w:eastAsia="仿宋_GB2312" w:cs="仿宋_GB2312"/>
          <w:i w:val="0"/>
          <w:iCs w:val="0"/>
          <w:caps w:val="0"/>
          <w:color w:val="303133"/>
          <w:spacing w:val="0"/>
          <w:sz w:val="32"/>
          <w:szCs w:val="32"/>
          <w:shd w:val="clear" w:fill="FFFFFF"/>
        </w:rPr>
        <w:t>民营企业申办条件：制造业企业上年度进出口额200万元人民币以上，企业员工80人以上。其它企业上年度进出口额20万元人民币以上，企业员工10人以上。企业上年底须完成依法纳税，对合伙企业和个人独资企业应提交申请人个人所得税完税证明。</w:t>
      </w:r>
    </w:p>
    <w:p w14:paraId="5FA66C2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Style w:val="5"/>
          <w:rFonts w:hint="default" w:ascii="黑体" w:hAnsi="黑体" w:eastAsia="黑体" w:cs="黑体"/>
          <w:b w:val="0"/>
          <w:bCs w:val="0"/>
          <w:i w:val="0"/>
          <w:iCs w:val="0"/>
          <w:caps w:val="0"/>
          <w:color w:val="303133"/>
          <w:spacing w:val="0"/>
          <w:sz w:val="32"/>
          <w:szCs w:val="32"/>
          <w:shd w:val="clear" w:fill="FFFFFF"/>
        </w:rPr>
      </w:pPr>
      <w:r>
        <w:rPr>
          <w:rStyle w:val="5"/>
          <w:rFonts w:hint="eastAsia" w:ascii="黑体" w:hAnsi="黑体" w:eastAsia="黑体" w:cs="黑体"/>
          <w:b w:val="0"/>
          <w:bCs w:val="0"/>
          <w:i w:val="0"/>
          <w:iCs w:val="0"/>
          <w:caps w:val="0"/>
          <w:color w:val="303133"/>
          <w:spacing w:val="0"/>
          <w:sz w:val="32"/>
          <w:szCs w:val="32"/>
          <w:shd w:val="clear" w:fill="FFFFFF"/>
          <w:lang w:eastAsia="zh-CN"/>
        </w:rPr>
        <w:t>六</w:t>
      </w:r>
      <w:r>
        <w:rPr>
          <w:rStyle w:val="5"/>
          <w:rFonts w:hint="default" w:ascii="黑体" w:hAnsi="黑体" w:eastAsia="黑体" w:cs="黑体"/>
          <w:b w:val="0"/>
          <w:bCs w:val="0"/>
          <w:i w:val="0"/>
          <w:iCs w:val="0"/>
          <w:caps w:val="0"/>
          <w:color w:val="303133"/>
          <w:spacing w:val="0"/>
          <w:sz w:val="32"/>
          <w:szCs w:val="32"/>
          <w:shd w:val="clear" w:fill="FFFFFF"/>
        </w:rPr>
        <w:t>、“签证覆盖”情况</w:t>
      </w:r>
    </w:p>
    <w:p w14:paraId="4CC1DA6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default" w:ascii="仿宋_GB2312" w:hAnsi="仿宋_GB2312" w:eastAsia="仿宋_GB2312" w:cs="仿宋_GB2312"/>
          <w:i w:val="0"/>
          <w:iCs w:val="0"/>
          <w:caps w:val="0"/>
          <w:color w:val="303133"/>
          <w:spacing w:val="0"/>
          <w:sz w:val="32"/>
          <w:szCs w:val="32"/>
          <w:shd w:val="clear" w:fill="FFFFFF"/>
        </w:rPr>
      </w:pPr>
      <w:r>
        <w:rPr>
          <w:rFonts w:hint="default" w:ascii="仿宋_GB2312" w:hAnsi="仿宋_GB2312" w:eastAsia="仿宋_GB2312" w:cs="仿宋_GB2312"/>
          <w:i w:val="0"/>
          <w:iCs w:val="0"/>
          <w:caps w:val="0"/>
          <w:color w:val="303133"/>
          <w:spacing w:val="0"/>
          <w:sz w:val="32"/>
          <w:szCs w:val="32"/>
          <w:shd w:val="clear" w:fill="FFFFFF"/>
        </w:rPr>
        <w:t>澳大利亚、新西兰、巴布亚新几内亚只允许申请人持一种有效入境签证，即：已获APEC商务旅行卡人员如在旅行卡有效期内申请上述经济体签证并获批，其有效期较短的签证将覆盖有效期五年的APEC商务旅行卡，导致APEC卡失效。</w:t>
      </w:r>
    </w:p>
    <w:p w14:paraId="18A4C5F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default" w:ascii="仿宋_GB2312" w:hAnsi="仿宋_GB2312" w:eastAsia="仿宋_GB2312" w:cs="仿宋_GB2312"/>
          <w:i w:val="0"/>
          <w:iCs w:val="0"/>
          <w:caps w:val="0"/>
          <w:color w:val="303133"/>
          <w:spacing w:val="0"/>
          <w:sz w:val="32"/>
          <w:szCs w:val="32"/>
          <w:shd w:val="clear" w:fill="FFFFFF"/>
        </w:rPr>
      </w:pPr>
      <w:r>
        <w:rPr>
          <w:rFonts w:hint="eastAsia" w:ascii="仿宋_GB2312" w:hAnsi="仿宋_GB2312" w:eastAsia="仿宋_GB2312" w:cs="仿宋_GB2312"/>
          <w:i w:val="0"/>
          <w:iCs w:val="0"/>
          <w:caps w:val="0"/>
          <w:color w:val="303133"/>
          <w:spacing w:val="0"/>
          <w:sz w:val="32"/>
          <w:szCs w:val="32"/>
          <w:shd w:val="clear" w:fill="FFFFFF"/>
          <w:lang w:eastAsia="zh-CN"/>
        </w:rPr>
        <w:t>七、</w:t>
      </w:r>
      <w:r>
        <w:rPr>
          <w:rFonts w:hint="default" w:ascii="仿宋_GB2312" w:hAnsi="仿宋_GB2312" w:eastAsia="仿宋_GB2312" w:cs="仿宋_GB2312"/>
          <w:i w:val="0"/>
          <w:iCs w:val="0"/>
          <w:caps w:val="0"/>
          <w:color w:val="303133"/>
          <w:spacing w:val="0"/>
          <w:sz w:val="32"/>
          <w:szCs w:val="32"/>
          <w:shd w:val="clear" w:fill="FFFFFF"/>
        </w:rPr>
        <w:t>APEC商务旅行卡与申办时所用的护照是绑定关系，一旦护照信息变更，对应的APEC商务旅行卡将无法继续使用，所以在申请批准后至APEC商务旅行卡制卡完毕前，如果产生护照损毁、丢失等导致更换护照的情况，要及时联系内蒙古外事办公室申请制卡前变更护照信息，以免造成不必要的损失。</w:t>
      </w:r>
    </w:p>
    <w:p w14:paraId="2EF2DC9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Style w:val="5"/>
          <w:rFonts w:hint="default" w:ascii="黑体" w:hAnsi="黑体" w:eastAsia="黑体" w:cs="黑体"/>
          <w:b w:val="0"/>
          <w:bCs w:val="0"/>
          <w:i w:val="0"/>
          <w:iCs w:val="0"/>
          <w:caps w:val="0"/>
          <w:color w:val="303133"/>
          <w:spacing w:val="0"/>
          <w:sz w:val="32"/>
          <w:szCs w:val="32"/>
          <w:shd w:val="clear" w:fill="FFFFFF"/>
        </w:rPr>
      </w:pPr>
      <w:r>
        <w:rPr>
          <w:rStyle w:val="5"/>
          <w:rFonts w:hint="eastAsia" w:ascii="黑体" w:hAnsi="黑体" w:eastAsia="黑体" w:cs="黑体"/>
          <w:b w:val="0"/>
          <w:bCs w:val="0"/>
          <w:i w:val="0"/>
          <w:iCs w:val="0"/>
          <w:caps w:val="0"/>
          <w:color w:val="303133"/>
          <w:spacing w:val="0"/>
          <w:sz w:val="32"/>
          <w:szCs w:val="32"/>
          <w:shd w:val="clear" w:fill="FFFFFF"/>
          <w:lang w:eastAsia="zh-CN"/>
        </w:rPr>
        <w:t>六</w:t>
      </w:r>
      <w:r>
        <w:rPr>
          <w:rStyle w:val="5"/>
          <w:rFonts w:hint="default" w:ascii="黑体" w:hAnsi="黑体" w:eastAsia="黑体" w:cs="黑体"/>
          <w:b w:val="0"/>
          <w:bCs w:val="0"/>
          <w:i w:val="0"/>
          <w:iCs w:val="0"/>
          <w:caps w:val="0"/>
          <w:color w:val="303133"/>
          <w:spacing w:val="0"/>
          <w:sz w:val="32"/>
          <w:szCs w:val="32"/>
          <w:shd w:val="clear" w:fill="FFFFFF"/>
        </w:rPr>
        <w:t>、</w:t>
      </w:r>
      <w:r>
        <w:rPr>
          <w:rStyle w:val="5"/>
          <w:rFonts w:hint="default" w:ascii="黑体" w:hAnsi="黑体" w:eastAsia="黑体" w:cs="黑体"/>
          <w:b w:val="0"/>
          <w:bCs w:val="0"/>
          <w:i w:val="0"/>
          <w:iCs w:val="0"/>
          <w:caps w:val="0"/>
          <w:color w:val="303133"/>
          <w:spacing w:val="0"/>
          <w:sz w:val="32"/>
          <w:szCs w:val="32"/>
          <w:shd w:val="clear" w:fill="FFFFFF"/>
        </w:rPr>
        <w:t>特别申明</w:t>
      </w:r>
    </w:p>
    <w:p w14:paraId="020304E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default" w:ascii="仿宋_GB2312" w:hAnsi="仿宋_GB2312" w:eastAsia="仿宋_GB2312" w:cs="仿宋_GB2312"/>
          <w:i w:val="0"/>
          <w:iCs w:val="0"/>
          <w:caps w:val="0"/>
          <w:color w:val="303133"/>
          <w:spacing w:val="0"/>
          <w:sz w:val="32"/>
          <w:szCs w:val="32"/>
          <w:shd w:val="clear" w:fill="FFFFFF"/>
        </w:rPr>
      </w:pPr>
      <w:r>
        <w:rPr>
          <w:rFonts w:hint="default" w:ascii="楷体" w:hAnsi="楷体" w:eastAsia="楷体" w:cs="楷体"/>
          <w:kern w:val="2"/>
          <w:sz w:val="32"/>
          <w:szCs w:val="32"/>
          <w:lang w:val="en-US" w:eastAsia="zh-CN" w:bidi="ar-SA"/>
        </w:rPr>
        <w:t>（一）</w:t>
      </w:r>
      <w:r>
        <w:rPr>
          <w:rFonts w:hint="default" w:ascii="仿宋_GB2312" w:hAnsi="仿宋_GB2312" w:eastAsia="仿宋_GB2312" w:cs="仿宋_GB2312"/>
          <w:i w:val="0"/>
          <w:iCs w:val="0"/>
          <w:caps w:val="0"/>
          <w:color w:val="303133"/>
          <w:spacing w:val="0"/>
          <w:sz w:val="32"/>
          <w:szCs w:val="32"/>
          <w:shd w:val="clear" w:fill="FFFFFF"/>
        </w:rPr>
        <w:t>自治区外事办不定期对有关企业使用旅行卡的情况进行抽查。</w:t>
      </w:r>
    </w:p>
    <w:p w14:paraId="5973972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default" w:ascii="仿宋_GB2312" w:hAnsi="仿宋_GB2312" w:eastAsia="仿宋_GB2312" w:cs="仿宋_GB2312"/>
          <w:i w:val="0"/>
          <w:iCs w:val="0"/>
          <w:caps w:val="0"/>
          <w:color w:val="303133"/>
          <w:spacing w:val="0"/>
          <w:sz w:val="32"/>
          <w:szCs w:val="32"/>
          <w:shd w:val="clear" w:fill="FFFFFF"/>
        </w:rPr>
      </w:pPr>
      <w:r>
        <w:rPr>
          <w:rFonts w:hint="default" w:ascii="楷体" w:hAnsi="楷体" w:eastAsia="楷体" w:cs="楷体"/>
          <w:kern w:val="2"/>
          <w:sz w:val="32"/>
          <w:szCs w:val="32"/>
          <w:lang w:val="en-US" w:eastAsia="zh-CN" w:bidi="ar-SA"/>
        </w:rPr>
        <w:t>（二）</w:t>
      </w:r>
      <w:r>
        <w:rPr>
          <w:rFonts w:hint="default" w:ascii="仿宋_GB2312" w:hAnsi="仿宋_GB2312" w:eastAsia="仿宋_GB2312" w:cs="仿宋_GB2312"/>
          <w:i w:val="0"/>
          <w:iCs w:val="0"/>
          <w:caps w:val="0"/>
          <w:color w:val="303133"/>
          <w:spacing w:val="0"/>
          <w:sz w:val="32"/>
          <w:szCs w:val="32"/>
          <w:shd w:val="clear" w:fill="FFFFFF"/>
        </w:rPr>
        <w:t>有以下情形之一的，将视情况上报外交部并对相关企业采取通报批评、暂停或取消其申请资格等措施：</w:t>
      </w:r>
    </w:p>
    <w:p w14:paraId="233D0B0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default" w:ascii="仿宋_GB2312" w:hAnsi="仿宋_GB2312" w:eastAsia="仿宋_GB2312" w:cs="仿宋_GB2312"/>
          <w:i w:val="0"/>
          <w:iCs w:val="0"/>
          <w:caps w:val="0"/>
          <w:color w:val="303133"/>
          <w:spacing w:val="0"/>
          <w:sz w:val="32"/>
          <w:szCs w:val="32"/>
          <w:shd w:val="clear" w:fill="FFFFFF"/>
        </w:rPr>
      </w:pPr>
      <w:r>
        <w:rPr>
          <w:rFonts w:hint="default" w:ascii="楷体" w:hAnsi="楷体" w:eastAsia="楷体" w:cs="楷体"/>
          <w:kern w:val="2"/>
          <w:sz w:val="32"/>
          <w:szCs w:val="32"/>
          <w:lang w:val="en-US" w:eastAsia="zh-CN" w:bidi="ar-SA"/>
        </w:rPr>
        <w:t>（</w:t>
      </w:r>
      <w:r>
        <w:rPr>
          <w:rFonts w:hint="eastAsia" w:ascii="楷体" w:hAnsi="楷体" w:eastAsia="楷体" w:cs="楷体"/>
          <w:kern w:val="2"/>
          <w:sz w:val="32"/>
          <w:szCs w:val="32"/>
          <w:lang w:val="en-US" w:eastAsia="zh-CN" w:bidi="ar-SA"/>
        </w:rPr>
        <w:t>三</w:t>
      </w:r>
      <w:r>
        <w:rPr>
          <w:rFonts w:hint="default" w:ascii="楷体" w:hAnsi="楷体" w:eastAsia="楷体" w:cs="楷体"/>
          <w:kern w:val="2"/>
          <w:sz w:val="32"/>
          <w:szCs w:val="32"/>
          <w:lang w:val="en-US" w:eastAsia="zh-CN" w:bidi="ar-SA"/>
        </w:rPr>
        <w:t>）</w:t>
      </w:r>
      <w:r>
        <w:rPr>
          <w:rFonts w:hint="default" w:ascii="仿宋_GB2312" w:hAnsi="仿宋_GB2312" w:eastAsia="仿宋_GB2312" w:cs="仿宋_GB2312"/>
          <w:i w:val="0"/>
          <w:iCs w:val="0"/>
          <w:caps w:val="0"/>
          <w:color w:val="303133"/>
          <w:spacing w:val="0"/>
          <w:sz w:val="32"/>
          <w:szCs w:val="32"/>
          <w:shd w:val="clear" w:fill="FFFFFF"/>
        </w:rPr>
        <w:t>企业因管理不善导致旅行卡遗失、损毁或被冒用并造成严重后果的；</w:t>
      </w:r>
    </w:p>
    <w:p w14:paraId="43F8EF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default" w:ascii="仿宋_GB2312" w:hAnsi="仿宋_GB2312" w:eastAsia="仿宋_GB2312" w:cs="仿宋_GB2312"/>
          <w:i w:val="0"/>
          <w:iCs w:val="0"/>
          <w:caps w:val="0"/>
          <w:color w:val="303133"/>
          <w:spacing w:val="0"/>
          <w:sz w:val="32"/>
          <w:szCs w:val="32"/>
          <w:shd w:val="clear" w:fill="FFFFFF"/>
        </w:rPr>
      </w:pPr>
      <w:r>
        <w:rPr>
          <w:rFonts w:hint="default" w:ascii="楷体" w:hAnsi="楷体" w:eastAsia="楷体" w:cs="楷体"/>
          <w:kern w:val="2"/>
          <w:sz w:val="32"/>
          <w:szCs w:val="32"/>
          <w:lang w:val="en-US" w:eastAsia="zh-CN" w:bidi="ar-SA"/>
        </w:rPr>
        <w:t>（</w:t>
      </w:r>
      <w:r>
        <w:rPr>
          <w:rFonts w:hint="eastAsia" w:ascii="楷体" w:hAnsi="楷体" w:eastAsia="楷体" w:cs="楷体"/>
          <w:kern w:val="2"/>
          <w:sz w:val="32"/>
          <w:szCs w:val="32"/>
          <w:lang w:val="en-US" w:eastAsia="zh-CN" w:bidi="ar-SA"/>
        </w:rPr>
        <w:t>四</w:t>
      </w:r>
      <w:r>
        <w:rPr>
          <w:rFonts w:hint="default" w:ascii="楷体" w:hAnsi="楷体" w:eastAsia="楷体" w:cs="楷体"/>
          <w:kern w:val="2"/>
          <w:sz w:val="32"/>
          <w:szCs w:val="32"/>
          <w:lang w:val="en-US" w:eastAsia="zh-CN" w:bidi="ar-SA"/>
        </w:rPr>
        <w:t>）</w:t>
      </w:r>
      <w:r>
        <w:rPr>
          <w:rFonts w:hint="default" w:ascii="仿宋_GB2312" w:hAnsi="仿宋_GB2312" w:eastAsia="仿宋_GB2312" w:cs="仿宋_GB2312"/>
          <w:i w:val="0"/>
          <w:iCs w:val="0"/>
          <w:caps w:val="0"/>
          <w:color w:val="303133"/>
          <w:spacing w:val="0"/>
          <w:sz w:val="32"/>
          <w:szCs w:val="32"/>
          <w:shd w:val="clear" w:fill="FFFFFF"/>
        </w:rPr>
        <w:t>持卡人出走或出访滞留不归，其所属企业知情不报或故意拖延不报的。</w:t>
      </w:r>
    </w:p>
    <w:p w14:paraId="235113D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default" w:ascii="仿宋_GB2312" w:hAnsi="仿宋_GB2312" w:eastAsia="仿宋_GB2312" w:cs="仿宋_GB2312"/>
          <w:i w:val="0"/>
          <w:iCs w:val="0"/>
          <w:caps w:val="0"/>
          <w:color w:val="303133"/>
          <w:spacing w:val="0"/>
          <w:sz w:val="32"/>
          <w:szCs w:val="32"/>
          <w:shd w:val="clear" w:fill="FFFFFF"/>
        </w:rPr>
      </w:pPr>
      <w:r>
        <w:rPr>
          <w:rFonts w:hint="default" w:ascii="楷体" w:hAnsi="楷体" w:eastAsia="楷体" w:cs="楷体"/>
          <w:kern w:val="2"/>
          <w:sz w:val="32"/>
          <w:szCs w:val="32"/>
          <w:lang w:val="en-US" w:eastAsia="zh-CN" w:bidi="ar-SA"/>
        </w:rPr>
        <w:t>（</w:t>
      </w:r>
      <w:r>
        <w:rPr>
          <w:rFonts w:hint="eastAsia" w:ascii="楷体" w:hAnsi="楷体" w:eastAsia="楷体" w:cs="楷体"/>
          <w:kern w:val="2"/>
          <w:sz w:val="32"/>
          <w:szCs w:val="32"/>
          <w:lang w:val="en-US" w:eastAsia="zh-CN" w:bidi="ar-SA"/>
        </w:rPr>
        <w:t>五</w:t>
      </w:r>
      <w:r>
        <w:rPr>
          <w:rFonts w:hint="default" w:ascii="楷体" w:hAnsi="楷体" w:eastAsia="楷体" w:cs="楷体"/>
          <w:kern w:val="2"/>
          <w:sz w:val="32"/>
          <w:szCs w:val="32"/>
          <w:lang w:val="en-US" w:eastAsia="zh-CN" w:bidi="ar-SA"/>
        </w:rPr>
        <w:t>）</w:t>
      </w:r>
      <w:r>
        <w:rPr>
          <w:rFonts w:hint="default" w:ascii="仿宋_GB2312" w:hAnsi="仿宋_GB2312" w:eastAsia="仿宋_GB2312" w:cs="仿宋_GB2312"/>
          <w:i w:val="0"/>
          <w:iCs w:val="0"/>
          <w:caps w:val="0"/>
          <w:color w:val="303133"/>
          <w:spacing w:val="0"/>
          <w:sz w:val="32"/>
          <w:szCs w:val="32"/>
          <w:shd w:val="clear" w:fill="FFFFFF"/>
        </w:rPr>
        <w:t>企业或持卡人利用旅行卡从事非法移民等违法活动的，移送公安机关依法处理。</w:t>
      </w:r>
    </w:p>
    <w:p w14:paraId="1CBE66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303133"/>
          <w:spacing w:val="0"/>
          <w:sz w:val="32"/>
          <w:szCs w:val="32"/>
          <w:shd w:val="clear" w:fill="FFFFFF"/>
        </w:rPr>
      </w:pPr>
    </w:p>
    <w:sectPr>
      <w:pgSz w:w="11906" w:h="16838"/>
      <w:pgMar w:top="2041" w:right="1531" w:bottom="204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35D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3</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2025-06-09T07:39:08Z</dcterms:created>
  <dc:creator>wlx</dc:creator>
  <cp:lastModifiedBy>张鹏</cp:lastModifiedBy>
  <dcterms:modified xsi:type="dcterms:W3CDTF">2025-06-09T07:58:04Z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eyJoZGlkIjoiY2I5MzMwMDlmMzU5NWQ3MmY4YmM5OTYxYTVlZWFmNWUiLCJ1c2VySWQiOiIyODA4NjE4MTcifQ==</vt:lpwstr>
  </property>
  <property fmtid="{D5CDD505-2E9C-101B-9397-08002B2CF9AE}" pid="4" name="ICV">
    <vt:lpwstr>E272BEFF47964E5F96A544DD074999F1_12</vt:lpwstr>
  </property>
</Properties>
</file>